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600"/>
        <w:jc w:val="center"/>
      </w:pPr>
      <w:r>
        <w:rPr>
          <w:rFonts w:ascii="Arial" w:cs="Arial" w:eastAsia="Arial" w:hAnsi="Arial"/>
          <w:b/>
          <w:bCs/>
          <w:color w:val="1B4F72"/>
          <w:sz w:val="72"/>
          <w:szCs w:val="72"/>
        </w:rPr>
        <w:t xml:space="preserve">NeoXLang</w:t>
      </w:r>
    </w:p>
    <w:p>
      <w:pPr>
        <w:spacing w:after="120" w:before="0"/>
        <w:jc w:val="center"/>
      </w:pPr>
      <w:r>
        <w:rPr>
          <w:rFonts w:ascii="Arial" w:cs="Arial" w:eastAsia="Arial" w:hAnsi="Arial"/>
          <w:i/>
          <w:iCs/>
          <w:color w:val="2874A6"/>
          <w:sz w:val="30"/>
          <w:szCs w:val="30"/>
        </w:rPr>
        <w:t xml:space="preserve">Democratising Embedded Systems Programming for Africa’s Digital Natives</w:t>
      </w:r>
    </w:p>
    <w:p>
      <w:pPr>
        <w:spacing w:after="560" w:before="0"/>
        <w:jc w:val="center"/>
      </w:pPr>
      <w:r>
        <w:rPr>
          <w:rFonts w:ascii="Arial" w:cs="Arial" w:eastAsia="Arial" w:hAnsi="Arial"/>
          <w:color w:val="999999"/>
          <w:sz w:val="22"/>
          <w:szCs w:val="22"/>
        </w:rPr>
        <w:t xml:space="preserve">Eigen Prize Submission  —  2025</w:t>
      </w:r>
    </w:p>
    <w:p>
      <w:pPr>
        <w:pBdr>
          <w:left w:val="single" w:color="1B4F72" w:sz="24" w:space="14"/>
        </w:pBdr>
        <w:shd w:fill="D6EAF8" w:val="clear"/>
        <w:spacing w:after="200" w:before="200"/>
        <w:ind w:left="560" w:right="560"/>
        <w:jc w:val="both"/>
      </w:pPr>
      <w:r>
        <w:rPr>
          <w:rFonts w:ascii="Arial" w:cs="Arial" w:eastAsia="Arial" w:hAnsi="Arial"/>
          <w:i/>
          <w:iCs/>
          <w:color w:val="1B4F72"/>
          <w:sz w:val="23"/>
          <w:szCs w:val="23"/>
        </w:rPr>
        <w:t xml:space="preserve">Africa’s next billion programmers do not own laptops — but they do have smartphones and mother tongues. NeoXLang gives them both as tools.</w:t>
      </w:r>
    </w:p>
    <w:p>
      <w:pPr>
        <w:spacing w:after="80" w:before="80"/>
      </w:pPr>
      <w:r>
        <w:t xml:space="preserve"/>
      </w:r>
    </w:p>
    <w:p>
      <w:pPr>
        <w:pStyle w:val="Heading1"/>
        <w:pBdr>
          <w:bottom w:val="single" w:color="2874A6" w:sz="8" w:space="6"/>
        </w:pBdr>
        <w:spacing w:after="160" w:before="440"/>
      </w:pPr>
      <w:r>
        <w:rPr>
          <w:rFonts w:ascii="Arial" w:cs="Arial" w:eastAsia="Arial" w:hAnsi="Arial"/>
          <w:b/>
          <w:bCs/>
          <w:color w:val="1B4F72"/>
          <w:sz w:val="36"/>
          <w:szCs w:val="36"/>
        </w:rPr>
        <w:t xml:space="preserve">Executive Summary</w:t>
      </w:r>
    </w:p>
    <w:p>
      <w:pPr>
        <w:spacing w:after="160" w:before="80"/>
        <w:jc w:val="both"/>
      </w:pPr>
      <w:r>
        <w:rPr>
          <w:rFonts w:ascii="Arial" w:cs="Arial" w:eastAsia="Arial" w:hAnsi="Arial"/>
          <w:color w:val="1C1C1C"/>
          <w:sz w:val="22"/>
          <w:szCs w:val="22"/>
        </w:rPr>
        <w:t xml:space="preserve">NeoXLang is a mobile-first embedded systems IDE that transforms any smartphone into a full programming device for Arduino, ESP32, and STM32 microcontrollers. It pairs that hardware access with local-language programming wrappers — so a student in Kampala codes in Swahili, a technician in Lagos reads error messages in Yoruba, and a maker in Kano prompts an AI assistant in Hausa. Together, these two innovations form a holistic solution to the two deepest structural barriers to technology education in Africa: the absence of affordable hardware infrastructure, and the English-only nature of every mainstream programming tool.</w:t>
      </w:r>
    </w:p>
    <w:p>
      <w:pPr>
        <w:spacing w:after="160" w:before="80"/>
        <w:jc w:val="both"/>
      </w:pPr>
      <w:r>
        <w:rPr>
          <w:rFonts w:ascii="Arial" w:cs="Arial" w:eastAsia="Arial" w:hAnsi="Arial"/>
          <w:color w:val="1C1C1C"/>
          <w:sz w:val="22"/>
          <w:szCs w:val="22"/>
        </w:rPr>
        <w:t xml:space="preserve">This is not a workaround or a simplified toy. NeoXLang connects over real protocols (USB, BLE, WiFi, Classic Bluetooth) to industry-standard microcontrollers and runs a professional CodeMirror-based code editor. The local-language layer compiles down to identical Arduino C++ — the microcontroller never knows the difference. What changes is who gets access to it.</w:t>
      </w:r>
    </w:p>
    <w:p>
      <w:pPr>
        <w:spacing w:after="80" w:before="80"/>
      </w:pPr>
      <w:r>
        <w:t xml:space="preserve"/>
      </w:r>
    </w:p>
    <w:p>
      <w:pPr>
        <w:pStyle w:val="Heading1"/>
        <w:pBdr>
          <w:bottom w:val="single" w:color="2874A6" w:sz="8" w:space="6"/>
        </w:pBdr>
        <w:spacing w:after="160" w:before="440"/>
      </w:pPr>
      <w:r>
        <w:rPr>
          <w:rFonts w:ascii="Arial" w:cs="Arial" w:eastAsia="Arial" w:hAnsi="Arial"/>
          <w:b/>
          <w:bCs/>
          <w:color w:val="1B4F72"/>
          <w:sz w:val="36"/>
          <w:szCs w:val="36"/>
        </w:rPr>
        <w:t xml:space="preserve">The Problem: Four Barriers, One Continent</w:t>
      </w:r>
    </w:p>
    <w:p>
      <w:pPr>
        <w:spacing w:after="160" w:before="80"/>
        <w:jc w:val="both"/>
      </w:pPr>
      <w:r>
        <w:rPr>
          <w:rFonts w:ascii="Arial" w:cs="Arial" w:eastAsia="Arial" w:hAnsi="Arial"/>
          <w:color w:val="1C1C1C"/>
          <w:sz w:val="22"/>
          <w:szCs w:val="22"/>
        </w:rPr>
        <w:t xml:space="preserve">Africa has the world’s fastest-growing youth population, an extraordinary density of self-taught electronics technicians, and pressing local problems that technology could solve: precision agriculture, solar grid monitoring, water-quality sensing, health diagnostics. The talent and the need are both there. What is missing is access — blocked by four compounding barriers.</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480"/>
        <w:gridCol w:w="2880"/>
      </w:tblGrid>
      <w:tr>
        <w:tc>
          <w:tcPr>
            <w:tcW w:type="dxa" w:w="3000"/>
            <w:tcBorders>
              <w:top w:val="single" w:color="BDC3C7" w:sz="4"/>
              <w:left w:val="single" w:color="BDC3C7" w:sz="4"/>
              <w:bottom w:val="single" w:color="BDC3C7" w:sz="4"/>
              <w:right w:val="single" w:color="BDC3C7" w:sz="4"/>
            </w:tcBorders>
            <w:shd w:fill="1B4F72" w:val="clear"/>
            <w:tcMar>
              <w:top w:type="dxa" w:w="90"/>
              <w:left w:type="dxa" w:w="130"/>
              <w:bottom w:type="dxa" w:w="90"/>
              <w:right w:type="dxa" w:w="130"/>
            </w:tcMar>
          </w:tcPr>
          <w:p>
            <w:r>
              <w:rPr>
                <w:rFonts w:ascii="Arial" w:cs="Arial" w:eastAsia="Arial" w:hAnsi="Arial"/>
                <w:b/>
                <w:bCs/>
                <w:color w:val="FFFFFF"/>
                <w:sz w:val="20"/>
                <w:szCs w:val="20"/>
              </w:rPr>
              <w:t xml:space="preserve">Barrier</w:t>
            </w:r>
          </w:p>
        </w:tc>
        <w:tc>
          <w:tcPr>
            <w:tcW w:type="dxa" w:w="3480"/>
            <w:tcBorders>
              <w:top w:val="single" w:color="BDC3C7" w:sz="4"/>
              <w:left w:val="single" w:color="BDC3C7" w:sz="4"/>
              <w:bottom w:val="single" w:color="BDC3C7" w:sz="4"/>
              <w:right w:val="single" w:color="BDC3C7" w:sz="4"/>
            </w:tcBorders>
            <w:shd w:fill="1B4F72" w:val="clear"/>
            <w:tcMar>
              <w:top w:type="dxa" w:w="90"/>
              <w:left w:type="dxa" w:w="130"/>
              <w:bottom w:type="dxa" w:w="90"/>
              <w:right w:type="dxa" w:w="130"/>
            </w:tcMar>
          </w:tcPr>
          <w:p>
            <w:r>
              <w:rPr>
                <w:rFonts w:ascii="Arial" w:cs="Arial" w:eastAsia="Arial" w:hAnsi="Arial"/>
                <w:b/>
                <w:bCs/>
                <w:color w:val="FFFFFF"/>
                <w:sz w:val="20"/>
                <w:szCs w:val="20"/>
              </w:rPr>
              <w:t xml:space="preserve">Who it shuts out</w:t>
            </w:r>
          </w:p>
        </w:tc>
        <w:tc>
          <w:tcPr>
            <w:tcW w:type="dxa" w:w="2880"/>
            <w:tcBorders>
              <w:top w:val="single" w:color="BDC3C7" w:sz="4"/>
              <w:left w:val="single" w:color="BDC3C7" w:sz="4"/>
              <w:bottom w:val="single" w:color="BDC3C7" w:sz="4"/>
              <w:right w:val="single" w:color="BDC3C7" w:sz="4"/>
            </w:tcBorders>
            <w:shd w:fill="1B4F72" w:val="clear"/>
            <w:tcMar>
              <w:top w:type="dxa" w:w="90"/>
              <w:left w:type="dxa" w:w="130"/>
              <w:bottom w:type="dxa" w:w="90"/>
              <w:right w:type="dxa" w:w="130"/>
            </w:tcMar>
          </w:tcPr>
          <w:p>
            <w:r>
              <w:rPr>
                <w:rFonts w:ascii="Arial" w:cs="Arial" w:eastAsia="Arial" w:hAnsi="Arial"/>
                <w:b/>
                <w:bCs/>
                <w:color w:val="FFFFFF"/>
                <w:sz w:val="20"/>
                <w:szCs w:val="20"/>
              </w:rPr>
              <w:t xml:space="preserve">Scale</w:t>
            </w:r>
          </w:p>
        </w:tc>
      </w:tr>
      <w:tr>
        <w:tc>
          <w:tcPr>
            <w:tcW w:type="dxa" w:w="30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English-only programming interfaces</w:t>
            </w:r>
          </w:p>
        </w:tc>
        <w:tc>
          <w:tcPr>
            <w:tcW w:type="dxa" w:w="34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650M+ Africans whose first language is not English</w:t>
            </w:r>
          </w:p>
        </w:tc>
        <w:tc>
          <w:tcPr>
            <w:tcW w:type="dxa" w:w="28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Biggest single preventable barrier</w:t>
            </w:r>
          </w:p>
        </w:tc>
      </w:tr>
      <w:tr>
        <w:tc>
          <w:tcPr>
            <w:tcW w:type="dxa" w:w="30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Desktop/laptop scarcity</w:t>
            </w:r>
          </w:p>
        </w:tc>
        <w:tc>
          <w:tcPr>
            <w:tcW w:type="dxa" w:w="34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Students and makers without computer infrastructure</w:t>
            </w:r>
          </w:p>
        </w:tc>
        <w:tc>
          <w:tcPr>
            <w:tcW w:type="dxa" w:w="28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750M+ active mobile users in Sub-Saharan Africa</w:t>
            </w:r>
          </w:p>
        </w:tc>
      </w:tr>
      <w:tr>
        <w:tc>
          <w:tcPr>
            <w:tcW w:type="dxa" w:w="30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High electricity cost / unreliable power</w:t>
            </w:r>
          </w:p>
        </w:tc>
        <w:tc>
          <w:tcPr>
            <w:tcW w:type="dxa" w:w="34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Rural and peri-urban communities</w:t>
            </w:r>
          </w:p>
        </w:tc>
        <w:tc>
          <w:tcPr>
            <w:tcW w:type="dxa" w:w="28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Most of Africa outside major capitals</w:t>
            </w:r>
          </w:p>
        </w:tc>
      </w:tr>
      <w:tr>
        <w:tc>
          <w:tcPr>
            <w:tcW w:type="dxa" w:w="30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English documentation &amp; error messages</w:t>
            </w:r>
          </w:p>
        </w:tc>
        <w:tc>
          <w:tcPr>
            <w:tcW w:type="dxa" w:w="34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Technicians who understand hardware but not English code</w:t>
            </w:r>
          </w:p>
        </w:tc>
        <w:tc>
          <w:tcPr>
            <w:tcW w:type="dxa" w:w="28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Millions of skilled repair workers continent-wide</w:t>
            </w:r>
          </w:p>
        </w:tc>
      </w:tr>
    </w:tbl>
    <w:p>
      <w:pPr>
        <w:spacing w:after="80" w:before="80"/>
      </w:pPr>
      <w:r>
        <w:t xml:space="preserve"/>
      </w:r>
    </w:p>
    <w:p>
      <w:pPr>
        <w:pBdr>
          <w:left w:val="single" w:color="1B4F72" w:sz="24" w:space="14"/>
        </w:pBdr>
        <w:shd w:fill="D6EAF8" w:val="clear"/>
        <w:spacing w:after="200" w:before="200"/>
        <w:ind w:left="560" w:right="560"/>
        <w:jc w:val="both"/>
      </w:pPr>
      <w:r>
        <w:rPr>
          <w:rFonts w:ascii="Arial" w:cs="Arial" w:eastAsia="Arial" w:hAnsi="Arial"/>
          <w:i/>
          <w:iCs/>
          <w:color w:val="1B4F72"/>
          <w:sz w:val="23"/>
          <w:szCs w:val="23"/>
        </w:rPr>
        <w:t xml:space="preserve">For the roughly 650 million Africans whose first language is not English, learning to program means mastering two things at once: a new cognitive discipline and a foreign language. This double burden is the biggest preventable barrier in African hardware education today.</w:t>
      </w:r>
    </w:p>
    <w:p>
      <w:pPr>
        <w:spacing w:after="80" w:before="80"/>
      </w:pPr>
      <w:r>
        <w:t xml:space="preserve"/>
      </w:r>
    </w:p>
    <w:p>
      <w:pPr>
        <w:pStyle w:val="Heading2"/>
        <w:spacing w:after="120" w:before="280"/>
      </w:pPr>
      <w:r>
        <w:rPr>
          <w:rFonts w:ascii="Arial" w:cs="Arial" w:eastAsia="Arial" w:hAnsi="Arial"/>
          <w:b/>
          <w:bCs/>
          <w:color w:val="2874A6"/>
          <w:sz w:val="27"/>
          <w:szCs w:val="27"/>
        </w:rPr>
        <w:t xml:space="preserve">The Hardware Access Gap</w:t>
      </w:r>
    </w:p>
    <w:p>
      <w:pPr>
        <w:spacing w:after="160" w:before="80"/>
        <w:jc w:val="both"/>
      </w:pPr>
      <w:r>
        <w:rPr>
          <w:rFonts w:ascii="Arial" w:cs="Arial" w:eastAsia="Arial" w:hAnsi="Arial"/>
          <w:color w:val="1C1C1C"/>
          <w:sz w:val="22"/>
          <w:szCs w:val="22"/>
        </w:rPr>
        <w:t xml:space="preserve">Sub-Saharan Africa has 750 million-plus active mobile phone users (Statista 2024), and the second-hand smartphone market is growing 40% year-on-year. Yet mainstream embedded programming tools — Arduino IDE, PlatformIO, VS Code — require a desktop or laptop computer. For the majority of African students and makers, that means they are permanently excluded. NeoXLang closes this gap by running a full-featured IDE directly on the phone they already own.</w:t>
      </w:r>
    </w:p>
    <w:p>
      <w:pPr>
        <w:pStyle w:val="Heading2"/>
        <w:spacing w:after="120" w:before="280"/>
      </w:pPr>
      <w:r>
        <w:rPr>
          <w:rFonts w:ascii="Arial" w:cs="Arial" w:eastAsia="Arial" w:hAnsi="Arial"/>
          <w:b/>
          <w:bCs/>
          <w:color w:val="2874A6"/>
          <w:sz w:val="27"/>
          <w:szCs w:val="27"/>
        </w:rPr>
        <w:t xml:space="preserve">The Language Access Gap</w:t>
      </w:r>
    </w:p>
    <w:p>
      <w:pPr>
        <w:spacing w:after="160" w:before="80"/>
        <w:jc w:val="both"/>
      </w:pPr>
      <w:r>
        <w:rPr>
          <w:rFonts w:ascii="Arial" w:cs="Arial" w:eastAsia="Arial" w:hAnsi="Arial"/>
          <w:color w:val="1C1C1C"/>
          <w:sz w:val="22"/>
          <w:szCs w:val="22"/>
        </w:rPr>
        <w:t xml:space="preserve">Every mainstream programming environment is English-only: keywords, documentation, error messages, forums, and tutorials. A young person who speaks Swahili as their first language and has strong spatial reasoning, hardware intuition, and creative drive must still decode a foreign language before they can write a single line of code. This is not a minor friction. It is a structural barrier that filters out millions of capable people before they ever start.</w:t>
      </w:r>
    </w:p>
    <w:p>
      <w:pPr>
        <w:spacing w:after="160" w:before="80"/>
        <w:jc w:val="both"/>
      </w:pPr>
      <w:r>
        <w:rPr>
          <w:rFonts w:ascii="Arial" w:cs="Arial" w:eastAsia="Arial" w:hAnsi="Arial"/>
          <w:color w:val="1C1C1C"/>
          <w:sz w:val="22"/>
          <w:szCs w:val="22"/>
        </w:rPr>
        <w:t xml:space="preserve">The local-language wrapper removes it without reinventing the wheel. It is a thin #define macro layer over standard Arduino C++:</w:t>
      </w:r>
    </w:p>
    <w:p>
      <w:pPr>
        <w:spacing w:after="40" w:before="40"/>
        <w:ind w:left="720"/>
      </w:pPr>
      <w:r>
        <w:rPr>
          <w:rFonts w:ascii="Courier New" w:cs="Courier New" w:eastAsia="Courier New" w:hAnsi="Courier New"/>
          <w:color w:val="2C3E50"/>
          <w:sz w:val="20"/>
          <w:szCs w:val="20"/>
        </w:rPr>
        <w:t xml:space="preserve">// Swahili wrapper examples</w:t>
      </w:r>
    </w:p>
    <w:p>
      <w:pPr>
        <w:spacing w:after="40" w:before="40"/>
        <w:ind w:left="720"/>
      </w:pPr>
      <w:r>
        <w:rPr>
          <w:rFonts w:ascii="Courier New" w:cs="Courier New" w:eastAsia="Courier New" w:hAnsi="Courier New"/>
          <w:color w:val="2C3E50"/>
          <w:sz w:val="20"/>
          <w:szCs w:val="20"/>
        </w:rPr>
        <w:t xml:space="preserve">#define anza()               setup()          // 'begin'</w:t>
      </w:r>
    </w:p>
    <w:p>
      <w:pPr>
        <w:spacing w:after="40" w:before="40"/>
        <w:ind w:left="720"/>
      </w:pPr>
      <w:r>
        <w:rPr>
          <w:rFonts w:ascii="Courier New" w:cs="Courier New" w:eastAsia="Courier New" w:hAnsi="Courier New"/>
          <w:color w:val="2C3E50"/>
          <w:sz w:val="20"/>
          <w:szCs w:val="20"/>
        </w:rPr>
        <w:t xml:space="preserve">#define chapisha(x)          Serial.print(x)  // 'print'</w:t>
      </w:r>
    </w:p>
    <w:p>
      <w:pPr>
        <w:spacing w:after="40" w:before="40"/>
        <w:ind w:left="720"/>
      </w:pPr>
      <w:r>
        <w:rPr>
          <w:rFonts w:ascii="Courier New" w:cs="Courier New" w:eastAsia="Courier New" w:hAnsi="Courier New"/>
          <w:color w:val="2C3E50"/>
          <w:sz w:val="20"/>
          <w:szCs w:val="20"/>
        </w:rPr>
        <w:t xml:space="preserve">#define andika_nambari(p,v)  digitalWrite(p,v)</w:t>
      </w:r>
    </w:p>
    <w:p>
      <w:pPr>
        <w:spacing w:after="160" w:before="80"/>
        <w:jc w:val="both"/>
      </w:pPr>
      <w:r>
        <w:rPr>
          <w:rFonts w:ascii="Arial" w:cs="Arial" w:eastAsia="Arial" w:hAnsi="Arial"/>
          <w:color w:val="1C1C1C"/>
          <w:sz w:val="22"/>
          <w:szCs w:val="22"/>
        </w:rPr>
        <w:t xml:space="preserve">These compile to identical bytecode. The microcontroller sees standard C++. The student sees their own language.</w:t>
      </w:r>
    </w:p>
    <w:p>
      <w:pPr>
        <w:spacing w:after="80" w:before="80"/>
      </w:pPr>
      <w:r>
        <w:t xml:space="preserve"/>
      </w:r>
    </w:p>
    <w:p>
      <w:pPr>
        <w:pStyle w:val="Heading1"/>
        <w:pBdr>
          <w:bottom w:val="single" w:color="2874A6" w:sz="8" w:space="6"/>
        </w:pBdr>
        <w:spacing w:after="160" w:before="440"/>
      </w:pPr>
      <w:r>
        <w:rPr>
          <w:rFonts w:ascii="Arial" w:cs="Arial" w:eastAsia="Arial" w:hAnsi="Arial"/>
          <w:b/>
          <w:bCs/>
          <w:color w:val="1B4F72"/>
          <w:sz w:val="36"/>
          <w:szCs w:val="36"/>
        </w:rPr>
        <w:t xml:space="preserve">Why Local-Language Programming Is Not Optional</w:t>
      </w:r>
    </w:p>
    <w:p>
      <w:pPr>
        <w:pStyle w:val="Heading2"/>
        <w:spacing w:after="120" w:before="280"/>
      </w:pPr>
      <w:r>
        <w:rPr>
          <w:rFonts w:ascii="Arial" w:cs="Arial" w:eastAsia="Arial" w:hAnsi="Arial"/>
          <w:b/>
          <w:bCs/>
          <w:color w:val="2874A6"/>
          <w:sz w:val="27"/>
          <w:szCs w:val="27"/>
        </w:rPr>
        <w:t xml:space="preserve">1. The Youth Bulge Cannot Wait for English</w:t>
      </w:r>
    </w:p>
    <w:p>
      <w:pPr>
        <w:spacing w:after="160" w:before="80"/>
        <w:jc w:val="both"/>
      </w:pPr>
      <w:r>
        <w:rPr>
          <w:rFonts w:ascii="Arial" w:cs="Arial" w:eastAsia="Arial" w:hAnsi="Arial"/>
          <w:color w:val="1C1C1C"/>
          <w:sz w:val="22"/>
          <w:szCs w:val="22"/>
        </w:rPr>
        <w:t xml:space="preserve">By 2050, Africa will be home to roughly 1.2 billion people under 25 — more young people than any other region on earth. They are entering the labour market right now. Achieving the English proficiency needed to parse programming documentation takes five to ten years of sustained instruction. That runway does not exist. Teaching in the language a young person already speaks removes the bottleneck entirely, redirecting all cognitive energy toward logic, abstraction, and problem-solving.</w:t>
      </w:r>
    </w:p>
    <w:p>
      <w:pPr>
        <w:pStyle w:val="Heading2"/>
        <w:spacing w:after="120" w:before="280"/>
      </w:pPr>
      <w:r>
        <w:rPr>
          <w:rFonts w:ascii="Arial" w:cs="Arial" w:eastAsia="Arial" w:hAnsi="Arial"/>
          <w:b/>
          <w:bCs/>
          <w:color w:val="2874A6"/>
          <w:sz w:val="27"/>
          <w:szCs w:val="27"/>
        </w:rPr>
        <w:t xml:space="preserve">2. Skilled Technicians Are Stuck at Repair</w:t>
      </w:r>
    </w:p>
    <w:p>
      <w:pPr>
        <w:spacing w:after="160" w:before="80"/>
        <w:jc w:val="both"/>
      </w:pPr>
      <w:r>
        <w:rPr>
          <w:rFonts w:ascii="Arial" w:cs="Arial" w:eastAsia="Arial" w:hAnsi="Arial"/>
          <w:color w:val="1C1C1C"/>
          <w:sz w:val="22"/>
          <w:szCs w:val="22"/>
        </w:rPr>
        <w:t xml:space="preserve">Africa’s cities are full of skilled electronics technicians who repair phones, diagnose circuit boards, and solder connections with sophistication that would impress any engineer. They understand hardware deeply. But firmware — the code that makes hardware do something new — is locked behind English-only interfaces. They can replace a brain; they cannot rewrite it. A local-language IDE turns that ceiling into a door. The economic difference is not incremental: a phone-repair technician earns subsistence income; an embedded firmware developer earns a middle-class salary.</w:t>
      </w:r>
    </w:p>
    <w:p>
      <w:pPr>
        <w:pStyle w:val="Heading2"/>
        <w:spacing w:after="120" w:before="280"/>
      </w:pPr>
      <w:r>
        <w:rPr>
          <w:rFonts w:ascii="Arial" w:cs="Arial" w:eastAsia="Arial" w:hAnsi="Arial"/>
          <w:b/>
          <w:bCs/>
          <w:color w:val="2874A6"/>
          <w:sz w:val="27"/>
          <w:szCs w:val="27"/>
        </w:rPr>
        <w:t xml:space="preserve">3. Teachers Cannot Teach What They Cannot Parse</w:t>
      </w:r>
    </w:p>
    <w:p>
      <w:pPr>
        <w:spacing w:after="160" w:before="80"/>
        <w:jc w:val="both"/>
      </w:pPr>
      <w:r>
        <w:rPr>
          <w:rFonts w:ascii="Arial" w:cs="Arial" w:eastAsia="Arial" w:hAnsi="Arial"/>
          <w:color w:val="1C1C1C"/>
          <w:sz w:val="22"/>
          <w:szCs w:val="22"/>
        </w:rPr>
        <w:t xml:space="preserve">Most African secondary-level teachers are not fluent enough in English to comfortably read programming documentation or explain syntax errors under classroom pressure. A local-language wrapper is simultaneously a student tool and a teacher support layer. It reduces prep time, lowers cognitive load, and makes confident lesson delivery possible. Instead of upskilling 150,000 teachers in English technical vocabulary, NeoXLang upgrades the environment they teach in.</w:t>
      </w:r>
    </w:p>
    <w:p>
      <w:pPr>
        <w:pStyle w:val="Heading2"/>
        <w:spacing w:after="120" w:before="280"/>
      </w:pPr>
      <w:r>
        <w:rPr>
          <w:rFonts w:ascii="Arial" w:cs="Arial" w:eastAsia="Arial" w:hAnsi="Arial"/>
          <w:b/>
          <w:bCs/>
          <w:color w:val="2874A6"/>
          <w:sz w:val="27"/>
          <w:szCs w:val="27"/>
        </w:rPr>
        <w:t xml:space="preserve">4. Natural Language Is the New Programming</w:t>
      </w:r>
    </w:p>
    <w:p>
      <w:pPr>
        <w:spacing w:after="160" w:before="80"/>
        <w:jc w:val="both"/>
      </w:pPr>
      <w:r>
        <w:rPr>
          <w:rFonts w:ascii="Arial" w:cs="Arial" w:eastAsia="Arial" w:hAnsi="Arial"/>
          <w:color w:val="1C1C1C"/>
          <w:sz w:val="22"/>
          <w:szCs w:val="22"/>
        </w:rPr>
        <w:t xml:space="preserve">AI tools like GitHub Copilot and Claude are making programming conversational: the person who can describe their intent precisely, in their own language, is the person who can build things. This should be Africa’s moment. But African languages currently lack standardised technical vocabulary. There is no agreed Swahili word for “loop”, no standard Yoruba term for “debug” or “sensor”. Students codeswitch into English and lose the fluency of thinking in their mother tongue.</w:t>
      </w:r>
    </w:p>
    <w:p>
      <w:pPr>
        <w:pBdr>
          <w:left w:val="single" w:color="1B4F72" w:sz="24" w:space="14"/>
        </w:pBdr>
        <w:shd w:fill="D6EAF8" w:val="clear"/>
        <w:spacing w:after="200" w:before="200"/>
        <w:ind w:left="560" w:right="560"/>
        <w:jc w:val="both"/>
      </w:pPr>
      <w:r>
        <w:rPr>
          <w:rFonts w:ascii="Arial" w:cs="Arial" w:eastAsia="Arial" w:hAnsi="Arial"/>
          <w:i/>
          <w:iCs/>
          <w:color w:val="1B4F72"/>
          <w:sz w:val="23"/>
          <w:szCs w:val="23"/>
        </w:rPr>
        <w:t xml:space="preserve">Every time a community agrees that andika_nambari() is the Swahili equivalent of digitalWrite(), they make a decision about the technical future of their language. Multiplied across thousands of classrooms, this becomes training-data infrastructure for African-language AI — building the vocabulary that future African LLMs will need.</w:t>
      </w:r>
    </w:p>
    <w:p>
      <w:pPr>
        <w:pStyle w:val="Heading2"/>
        <w:spacing w:after="120" w:before="280"/>
      </w:pPr>
      <w:r>
        <w:rPr>
          <w:rFonts w:ascii="Arial" w:cs="Arial" w:eastAsia="Arial" w:hAnsi="Arial"/>
          <w:b/>
          <w:bCs/>
          <w:color w:val="2874A6"/>
          <w:sz w:val="27"/>
          <w:szCs w:val="27"/>
        </w:rPr>
        <w:t xml:space="preserve">5. Asia Proved This Is a Choice, Not an Impossibility</w:t>
      </w:r>
    </w:p>
    <w:p>
      <w:pPr>
        <w:spacing w:after="160" w:before="80"/>
        <w:jc w:val="both"/>
      </w:pPr>
      <w:r>
        <w:rPr>
          <w:rFonts w:ascii="Arial" w:cs="Arial" w:eastAsia="Arial" w:hAnsi="Arial"/>
          <w:color w:val="1C1C1C"/>
          <w:sz w:val="22"/>
          <w:szCs w:val="22"/>
        </w:rPr>
        <w:t xml:space="preserve">Japan built katakana equivalents for every technical term (konpyuuta, sofutowea). China chose semantic translation: ruanjian (“soft article”) for software, biancheng (“weave-instruction”) for programming. These were deliberate policy decisions that their languages would be full participants in the technological future, not visitors to it. Korea and India made parallel investments. The result is some of the most technically sophisticated engineering cultures in the world, conducted largely in non-English languages. Africa can make the same choice. NeoXLang is the practical first step.</w:t>
      </w:r>
    </w:p>
    <w:p>
      <w:pPr>
        <w:pStyle w:val="Heading2"/>
        <w:spacing w:after="120" w:before="280"/>
      </w:pPr>
      <w:r>
        <w:rPr>
          <w:rFonts w:ascii="Arial" w:cs="Arial" w:eastAsia="Arial" w:hAnsi="Arial"/>
          <w:b/>
          <w:bCs/>
          <w:color w:val="2874A6"/>
          <w:sz w:val="27"/>
          <w:szCs w:val="27"/>
        </w:rPr>
        <w:t xml:space="preserve">6. Computational Thinking for the Ordinary Person</w:t>
      </w:r>
    </w:p>
    <w:p>
      <w:pPr>
        <w:spacing w:after="160" w:before="80"/>
        <w:jc w:val="both"/>
      </w:pPr>
      <w:r>
        <w:rPr>
          <w:rFonts w:ascii="Arial" w:cs="Arial" w:eastAsia="Arial" w:hAnsi="Arial"/>
          <w:color w:val="1C1C1C"/>
          <w:sz w:val="22"/>
          <w:szCs w:val="22"/>
        </w:rPr>
        <w:t xml:space="preserve">The goal of teaching programming is not to produce programmers. It is to raise the quality of abstract reasoning across an entire society: the capacity to break a problem into steps, think in conditions, trace cause and effect, model a system before acting. Research shows this develops most effectively when taught in the language a person naturally thinks in. When a Yoruba-speaking farmer learns sequencing through an analogy drawn from planting seasons, explained in Yoruba, using hardware she can hold in her hands, the concept lands at a depth an English lesson never reaches. She may never write a line of code — but she will plan, budget, and decide differently for life.</w:t>
      </w:r>
    </w:p>
    <w:p>
      <w:pPr>
        <w:spacing w:after="80" w:before="80"/>
      </w:pPr>
      <w:r>
        <w:t xml:space="preserve"/>
      </w:r>
    </w:p>
    <w:p>
      <w:pPr>
        <w:pStyle w:val="Heading1"/>
        <w:pBdr>
          <w:bottom w:val="single" w:color="2874A6" w:sz="8" w:space="6"/>
        </w:pBdr>
        <w:spacing w:after="160" w:before="440"/>
      </w:pPr>
      <w:r>
        <w:rPr>
          <w:rFonts w:ascii="Arial" w:cs="Arial" w:eastAsia="Arial" w:hAnsi="Arial"/>
          <w:b/>
          <w:bCs/>
          <w:color w:val="1B4F72"/>
          <w:sz w:val="36"/>
          <w:szCs w:val="36"/>
        </w:rPr>
        <w:t xml:space="preserve">The Solution: NeoXLang IDE — A Holistic Answer</w:t>
      </w:r>
    </w:p>
    <w:p>
      <w:pPr>
        <w:spacing w:after="160" w:before="80"/>
        <w:jc w:val="both"/>
      </w:pPr>
      <w:r>
        <w:rPr>
          <w:rFonts w:ascii="Arial" w:cs="Arial" w:eastAsia="Arial" w:hAnsi="Arial"/>
          <w:color w:val="1C1C1C"/>
          <w:sz w:val="22"/>
          <w:szCs w:val="22"/>
        </w:rPr>
        <w:t xml:space="preserve">NeoXLang addresses both the hardware gap and the language gap in a single, integrated platform. The insight is that these two problems share one solution: bring the full programming environment to people as they are, in the language they think in, on the device they already own.</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3400"/>
        <w:gridCol w:w="3360"/>
      </w:tblGrid>
      <w:tr>
        <w:tc>
          <w:tcPr>
            <w:tcW w:type="dxa" w:w="2600"/>
            <w:tcBorders>
              <w:top w:val="single" w:color="BDC3C7" w:sz="4"/>
              <w:left w:val="single" w:color="BDC3C7" w:sz="4"/>
              <w:bottom w:val="single" w:color="BDC3C7" w:sz="4"/>
              <w:right w:val="single" w:color="BDC3C7" w:sz="4"/>
            </w:tcBorders>
            <w:shd w:fill="1B4F72" w:val="clear"/>
            <w:tcMar>
              <w:top w:type="dxa" w:w="90"/>
              <w:left w:type="dxa" w:w="130"/>
              <w:bottom w:type="dxa" w:w="90"/>
              <w:right w:type="dxa" w:w="130"/>
            </w:tcMar>
          </w:tcPr>
          <w:p>
            <w:r>
              <w:rPr>
                <w:rFonts w:ascii="Arial" w:cs="Arial" w:eastAsia="Arial" w:hAnsi="Arial"/>
                <w:b/>
                <w:bCs/>
                <w:color w:val="FFFFFF"/>
                <w:sz w:val="20"/>
                <w:szCs w:val="20"/>
              </w:rPr>
              <w:t xml:space="preserve">Feature</w:t>
            </w:r>
          </w:p>
        </w:tc>
        <w:tc>
          <w:tcPr>
            <w:tcW w:type="dxa" w:w="3400"/>
            <w:tcBorders>
              <w:top w:val="single" w:color="BDC3C7" w:sz="4"/>
              <w:left w:val="single" w:color="BDC3C7" w:sz="4"/>
              <w:bottom w:val="single" w:color="BDC3C7" w:sz="4"/>
              <w:right w:val="single" w:color="BDC3C7" w:sz="4"/>
            </w:tcBorders>
            <w:shd w:fill="1B4F72" w:val="clear"/>
            <w:tcMar>
              <w:top w:type="dxa" w:w="90"/>
              <w:left w:type="dxa" w:w="130"/>
              <w:bottom w:type="dxa" w:w="90"/>
              <w:right w:type="dxa" w:w="130"/>
            </w:tcMar>
          </w:tcPr>
          <w:p>
            <w:r>
              <w:rPr>
                <w:rFonts w:ascii="Arial" w:cs="Arial" w:eastAsia="Arial" w:hAnsi="Arial"/>
                <w:b/>
                <w:bCs/>
                <w:color w:val="FFFFFF"/>
                <w:sz w:val="20"/>
                <w:szCs w:val="20"/>
              </w:rPr>
              <w:t xml:space="preserve">What it does</w:t>
            </w:r>
          </w:p>
        </w:tc>
        <w:tc>
          <w:tcPr>
            <w:tcW w:type="dxa" w:w="3360"/>
            <w:tcBorders>
              <w:top w:val="single" w:color="BDC3C7" w:sz="4"/>
              <w:left w:val="single" w:color="BDC3C7" w:sz="4"/>
              <w:bottom w:val="single" w:color="BDC3C7" w:sz="4"/>
              <w:right w:val="single" w:color="BDC3C7" w:sz="4"/>
            </w:tcBorders>
            <w:shd w:fill="1B4F72" w:val="clear"/>
            <w:tcMar>
              <w:top w:type="dxa" w:w="90"/>
              <w:left w:type="dxa" w:w="130"/>
              <w:bottom w:type="dxa" w:w="90"/>
              <w:right w:type="dxa" w:w="130"/>
            </w:tcMar>
          </w:tcPr>
          <w:p>
            <w:r>
              <w:rPr>
                <w:rFonts w:ascii="Arial" w:cs="Arial" w:eastAsia="Arial" w:hAnsi="Arial"/>
                <w:b/>
                <w:bCs/>
                <w:color w:val="FFFFFF"/>
                <w:sz w:val="20"/>
                <w:szCs w:val="20"/>
              </w:rPr>
              <w:t xml:space="preserve">Why it matters for Africa</w:t>
            </w:r>
          </w:p>
        </w:tc>
      </w:tr>
      <w:tr>
        <w:tc>
          <w:tcPr>
            <w:tcW w:type="dxa" w:w="26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Mobile-first Flutter app</w:t>
            </w:r>
          </w:p>
        </w:tc>
        <w:tc>
          <w:tcPr>
            <w:tcW w:type="dxa" w:w="34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Runs on Android, iOS, Linux, macOS — $50-200 phones</w:t>
            </w:r>
          </w:p>
        </w:tc>
        <w:tc>
          <w:tcPr>
            <w:tcW w:type="dxa" w:w="336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Removes the laptop/desktop requirement entirely</w:t>
            </w:r>
          </w:p>
        </w:tc>
      </w:tr>
      <w:tr>
        <w:tc>
          <w:tcPr>
            <w:tcW w:type="dxa" w:w="26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Local-language wrappers</w:t>
            </w:r>
          </w:p>
        </w:tc>
        <w:tc>
          <w:tcPr>
            <w:tcW w:type="dxa" w:w="34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Arduino keywords translated into Swahili, Yoruba, Hausa and more</w:t>
            </w:r>
          </w:p>
        </w:tc>
        <w:tc>
          <w:tcPr>
            <w:tcW w:type="dxa" w:w="336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Eliminates the English-as-second-language burden</w:t>
            </w:r>
          </w:p>
        </w:tc>
      </w:tr>
      <w:tr>
        <w:tc>
          <w:tcPr>
            <w:tcW w:type="dxa" w:w="26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AI natural language coding</w:t>
            </w:r>
          </w:p>
        </w:tc>
        <w:tc>
          <w:tcPr>
            <w:tcW w:type="dxa" w:w="34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Describe intent in your mother tongue; AI generates code</w:t>
            </w:r>
          </w:p>
        </w:tc>
        <w:tc>
          <w:tcPr>
            <w:tcW w:type="dxa" w:w="336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Zero prior programming knowledge required</w:t>
            </w:r>
          </w:p>
        </w:tc>
      </w:tr>
      <w:tr>
        <w:tc>
          <w:tcPr>
            <w:tcW w:type="dxa" w:w="26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Multi-protocol hardware link</w:t>
            </w:r>
          </w:p>
        </w:tc>
        <w:tc>
          <w:tcPr>
            <w:tcW w:type="dxa" w:w="34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USB, BLE, Classic Bluetooth (HC-05/HC-06), WiFi</w:t>
            </w:r>
          </w:p>
        </w:tc>
        <w:tc>
          <w:tcPr>
            <w:tcW w:type="dxa" w:w="336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Works with cheap, widely available microcontrollers</w:t>
            </w:r>
          </w:p>
        </w:tc>
      </w:tr>
      <w:tr>
        <w:tc>
          <w:tcPr>
            <w:tcW w:type="dxa" w:w="26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Local-language error messages &amp; docs</w:t>
            </w:r>
          </w:p>
        </w:tc>
        <w:tc>
          <w:tcPr>
            <w:tcW w:type="dxa" w:w="34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Cryptic English errors replaced with clear explanations in user's language</w:t>
            </w:r>
          </w:p>
        </w:tc>
        <w:tc>
          <w:tcPr>
            <w:tcW w:type="dxa" w:w="336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Turns frustration into learning; no translator needed</w:t>
            </w:r>
          </w:p>
        </w:tc>
      </w:tr>
    </w:tbl>
    <w:p>
      <w:pPr>
        <w:spacing w:after="80" w:before="80"/>
      </w:pPr>
      <w:r>
        <w:t xml:space="preserve"/>
      </w:r>
    </w:p>
    <w:p>
      <w:pPr>
        <w:pStyle w:val="Heading2"/>
        <w:spacing w:after="120" w:before="280"/>
      </w:pPr>
      <w:r>
        <w:rPr>
          <w:rFonts w:ascii="Arial" w:cs="Arial" w:eastAsia="Arial" w:hAnsi="Arial"/>
          <w:b/>
          <w:bCs/>
          <w:color w:val="2874A6"/>
          <w:sz w:val="27"/>
          <w:szCs w:val="27"/>
        </w:rPr>
        <w:t xml:space="preserve">Mobile + Desktop: Access Without Infrastructure</w:t>
      </w:r>
    </w:p>
    <w:p>
      <w:pPr>
        <w:spacing w:after="160" w:before="80"/>
        <w:jc w:val="both"/>
      </w:pPr>
      <w:r>
        <w:rPr>
          <w:rFonts w:ascii="Arial" w:cs="Arial" w:eastAsia="Arial" w:hAnsi="Arial"/>
          <w:color w:val="1C1C1C"/>
          <w:sz w:val="22"/>
          <w:szCs w:val="22"/>
        </w:rPr>
        <w:t xml:space="preserve">Built in Flutter, NeoXLang runs on Android, iOS, Linux, and macOS. This is not a browser-based toy. It is a cross-platform production IDE. On a $50-200 second-hand Android phone, a student in a rural Ugandan school can write firmware, flash a microcontroller over BLE, and read back sensor data — with no laptop, no reliable electricity grid (the phone’s battery is the power source), and no English required. The desktop app serves urban makerspaces and universities; the mobile app serves everywhere else. Together they make the platform accessible to communities that have been systematically excluded from hardware education.</w:t>
      </w:r>
    </w:p>
    <w:p>
      <w:pPr>
        <w:pStyle w:val="Heading2"/>
        <w:spacing w:after="120" w:before="280"/>
      </w:pPr>
      <w:r>
        <w:rPr>
          <w:rFonts w:ascii="Arial" w:cs="Arial" w:eastAsia="Arial" w:hAnsi="Arial"/>
          <w:b/>
          <w:bCs/>
          <w:color w:val="2874A6"/>
          <w:sz w:val="27"/>
          <w:szCs w:val="27"/>
        </w:rPr>
        <w:t xml:space="preserve">Local-Language Wrappers: The Linguistic Layer</w:t>
      </w:r>
    </w:p>
    <w:p>
      <w:pPr>
        <w:spacing w:after="160" w:before="80"/>
        <w:jc w:val="both"/>
      </w:pPr>
      <w:r>
        <w:rPr>
          <w:rFonts w:ascii="Arial" w:cs="Arial" w:eastAsia="Arial" w:hAnsi="Arial"/>
          <w:color w:val="1C1C1C"/>
          <w:sz w:val="22"/>
          <w:szCs w:val="22"/>
        </w:rPr>
        <w:t xml:space="preserve">The wrapper architecture is technically simple — #define macros in a header file — but its community impact is profound. Starting with Swahili (200 million speakers), then Yoruba and Hausa, each wrapper is built openly on GitHub, with communities deciding their own terminology. This is not translation handed down from above; it is language communities taking ownership of their technical future. The vocabulary generated feeds directly into African-language AI training corpora, making NeoXLang simultaneously an education platform and infrastructure for the next generation of African-language AI models.</w:t>
      </w:r>
    </w:p>
    <w:p>
      <w:pPr>
        <w:pStyle w:val="Heading2"/>
        <w:spacing w:after="120" w:before="280"/>
      </w:pPr>
      <w:r>
        <w:rPr>
          <w:rFonts w:ascii="Arial" w:cs="Arial" w:eastAsia="Arial" w:hAnsi="Arial"/>
          <w:b/>
          <w:bCs/>
          <w:color w:val="2874A6"/>
          <w:sz w:val="27"/>
          <w:szCs w:val="27"/>
        </w:rPr>
        <w:t xml:space="preserve">AI-Powered Natural Language Coding</w:t>
      </w:r>
    </w:p>
    <w:p>
      <w:pPr>
        <w:spacing w:after="160" w:before="80"/>
        <w:jc w:val="both"/>
      </w:pPr>
      <w:r>
        <w:rPr>
          <w:rFonts w:ascii="Arial" w:cs="Arial" w:eastAsia="Arial" w:hAnsi="Arial"/>
          <w:color w:val="1C1C1C"/>
          <w:sz w:val="22"/>
          <w:szCs w:val="22"/>
        </w:rPr>
        <w:t xml:space="preserve">NeoXLang integrates AI assistance that accepts prompts in local languages. A student who cannot yet write code can describe what they want in Swahili — “make the LED flash when the soil sensor is dry” — and receive working firmware. This is not a crutch; it is an on-ramp. As the student reads and modifies the generated code, they build fluency. The local-language wrapper ensures that the code they read back uses terms they recognise, not English keywords that feel foreign.</w:t>
      </w:r>
    </w:p>
    <w:p>
      <w:pPr>
        <w:pStyle w:val="Heading2"/>
        <w:spacing w:after="120" w:before="280"/>
      </w:pPr>
      <w:r>
        <w:rPr>
          <w:rFonts w:ascii="Arial" w:cs="Arial" w:eastAsia="Arial" w:hAnsi="Arial"/>
          <w:b/>
          <w:bCs/>
          <w:color w:val="2874A6"/>
          <w:sz w:val="27"/>
          <w:szCs w:val="27"/>
        </w:rPr>
        <w:t xml:space="preserve">Multi-Protocol Hardware Connectivity</w:t>
      </w:r>
    </w:p>
    <w:p>
      <w:pPr>
        <w:spacing w:after="160" w:before="80"/>
        <w:jc w:val="both"/>
      </w:pPr>
      <w:r>
        <w:rPr>
          <w:rFonts w:ascii="Arial" w:cs="Arial" w:eastAsia="Arial" w:hAnsi="Arial"/>
          <w:color w:val="1C1C1C"/>
          <w:sz w:val="22"/>
          <w:szCs w:val="22"/>
        </w:rPr>
        <w:t xml:space="preserve">NeoXLang connects to Arduino, ESP32, and STM32 boards over USB serial, Bluetooth Low Energy, Classic Bluetooth (HC-05/HC-06 modules cost under $2), and WiFi. This means it works with the cheapest, most widely available microcontrollers in African maker markets. There is no proprietary hardware lock-in. Any board a student or technician already has will work.</w:t>
      </w:r>
    </w:p>
    <w:p>
      <w:pPr>
        <w:spacing w:after="80" w:before="80"/>
      </w:pPr>
      <w:r>
        <w:t xml:space="preserve"/>
      </w:r>
    </w:p>
    <w:p>
      <w:pPr>
        <w:pStyle w:val="Heading1"/>
        <w:pBdr>
          <w:bottom w:val="single" w:color="2874A6" w:sz="8" w:space="6"/>
        </w:pBdr>
        <w:spacing w:after="160" w:before="440"/>
      </w:pPr>
      <w:r>
        <w:rPr>
          <w:rFonts w:ascii="Arial" w:cs="Arial" w:eastAsia="Arial" w:hAnsi="Arial"/>
          <w:b/>
          <w:bCs/>
          <w:color w:val="1B4F72"/>
          <w:sz w:val="36"/>
          <w:szCs w:val="36"/>
        </w:rPr>
        <w:t xml:space="preserve">Who This Reaches</w:t>
      </w:r>
    </w:p>
    <w:p>
      <w:pPr>
        <w:pStyle w:val="Heading2"/>
        <w:spacing w:after="120" w:before="280"/>
      </w:pPr>
      <w:r>
        <w:rPr>
          <w:rFonts w:ascii="Arial" w:cs="Arial" w:eastAsia="Arial" w:hAnsi="Arial"/>
          <w:b/>
          <w:bCs/>
          <w:color w:val="2874A6"/>
          <w:sz w:val="27"/>
          <w:szCs w:val="27"/>
        </w:rPr>
        <w:t xml:space="preserve">Students Without Laptops</w:t>
      </w:r>
    </w:p>
    <w:p>
      <w:pPr>
        <w:spacing w:after="160" w:before="80"/>
        <w:jc w:val="both"/>
      </w:pPr>
      <w:r>
        <w:rPr>
          <w:rFonts w:ascii="Arial" w:cs="Arial" w:eastAsia="Arial" w:hAnsi="Arial"/>
          <w:color w:val="1C1C1C"/>
          <w:sz w:val="22"/>
          <w:szCs w:val="22"/>
        </w:rPr>
        <w:t xml:space="preserve">Secondary and university students across Africa learn on the smartphones they carry daily. NeoXLang turns that phone into a full embedded-systems development environment. Schools do not need a computer lab; students do not need to travel to one.</w:t>
      </w:r>
    </w:p>
    <w:p>
      <w:pPr>
        <w:pStyle w:val="Heading2"/>
        <w:spacing w:after="120" w:before="280"/>
      </w:pPr>
      <w:r>
        <w:rPr>
          <w:rFonts w:ascii="Arial" w:cs="Arial" w:eastAsia="Arial" w:hAnsi="Arial"/>
          <w:b/>
          <w:bCs/>
          <w:color w:val="2874A6"/>
          <w:sz w:val="27"/>
          <w:szCs w:val="27"/>
        </w:rPr>
        <w:t xml:space="preserve">Electronics Technicians</w:t>
      </w:r>
    </w:p>
    <w:p>
      <w:pPr>
        <w:spacing w:after="160" w:before="80"/>
        <w:jc w:val="both"/>
      </w:pPr>
      <w:r>
        <w:rPr>
          <w:rFonts w:ascii="Arial" w:cs="Arial" w:eastAsia="Arial" w:hAnsi="Arial"/>
          <w:color w:val="1C1C1C"/>
          <w:sz w:val="22"/>
          <w:szCs w:val="22"/>
        </w:rPr>
        <w:t xml:space="preserve">The continent’s vast informal repair economy is full of people who understand hardware. NeoXLang gives them the programming layer in a language they think in. Repair shops become development studios. Subsistence income becomes middle-class salary.</w:t>
      </w:r>
    </w:p>
    <w:p>
      <w:pPr>
        <w:pStyle w:val="Heading2"/>
        <w:spacing w:after="120" w:before="280"/>
      </w:pPr>
      <w:r>
        <w:rPr>
          <w:rFonts w:ascii="Arial" w:cs="Arial" w:eastAsia="Arial" w:hAnsi="Arial"/>
          <w:b/>
          <w:bCs/>
          <w:color w:val="2874A6"/>
          <w:sz w:val="27"/>
          <w:szCs w:val="27"/>
        </w:rPr>
        <w:t xml:space="preserve">Rural and Field Engineers</w:t>
      </w:r>
    </w:p>
    <w:p>
      <w:pPr>
        <w:spacing w:after="160" w:before="80"/>
        <w:jc w:val="both"/>
      </w:pPr>
      <w:r>
        <w:rPr>
          <w:rFonts w:ascii="Arial" w:cs="Arial" w:eastAsia="Arial" w:hAnsi="Arial"/>
          <w:color w:val="1C1C1C"/>
          <w:sz w:val="22"/>
          <w:szCs w:val="22"/>
        </w:rPr>
        <w:t xml:space="preserve">Field technicians maintaining solar systems, water sensors, and agricultural IoT devices can reprogram hardware on-site over BLE from their phone — no return to a central lab, no laptop, no English documentation to decipher.</w:t>
      </w:r>
    </w:p>
    <w:p>
      <w:pPr>
        <w:pStyle w:val="Heading2"/>
        <w:spacing w:after="120" w:before="280"/>
      </w:pPr>
      <w:r>
        <w:rPr>
          <w:rFonts w:ascii="Arial" w:cs="Arial" w:eastAsia="Arial" w:hAnsi="Arial"/>
          <w:b/>
          <w:bCs/>
          <w:color w:val="2874A6"/>
          <w:sz w:val="27"/>
          <w:szCs w:val="27"/>
        </w:rPr>
        <w:t xml:space="preserve">Teachers</w:t>
      </w:r>
    </w:p>
    <w:p>
      <w:pPr>
        <w:spacing w:after="160" w:before="80"/>
        <w:jc w:val="both"/>
      </w:pPr>
      <w:r>
        <w:rPr>
          <w:rFonts w:ascii="Arial" w:cs="Arial" w:eastAsia="Arial" w:hAnsi="Arial"/>
          <w:color w:val="1C1C1C"/>
          <w:sz w:val="22"/>
          <w:szCs w:val="22"/>
        </w:rPr>
        <w:t xml:space="preserve">Local-language interfaces and error messages let teachers who are not English-fluent deliver confident, clear programming lessons. The platform becomes a force-multiplier for every teacher on the continent.</w:t>
      </w:r>
    </w:p>
    <w:p>
      <w:pPr>
        <w:pStyle w:val="Heading2"/>
        <w:spacing w:after="120" w:before="280"/>
      </w:pPr>
      <w:r>
        <w:rPr>
          <w:rFonts w:ascii="Arial" w:cs="Arial" w:eastAsia="Arial" w:hAnsi="Arial"/>
          <w:b/>
          <w:bCs/>
          <w:color w:val="2874A6"/>
          <w:sz w:val="27"/>
          <w:szCs w:val="27"/>
        </w:rPr>
        <w:t xml:space="preserve">Girls and Rural Learners</w:t>
      </w:r>
    </w:p>
    <w:p>
      <w:pPr>
        <w:spacing w:after="160" w:before="80"/>
        <w:jc w:val="both"/>
      </w:pPr>
      <w:r>
        <w:rPr>
          <w:rFonts w:ascii="Arial" w:cs="Arial" w:eastAsia="Arial" w:hAnsi="Arial"/>
          <w:color w:val="1C1C1C"/>
          <w:sz w:val="22"/>
          <w:szCs w:val="22"/>
        </w:rPr>
        <w:t xml:space="preserve">Girls and rural students are disproportionately affected by both the hardware gap (no school computer lab) and the language gap (English as a third language after the mother tongue and a national language). NeoXLang directly removes both barriers, lowering the “hidden cultural tax” that keeps them out of STEM paths.</w:t>
      </w:r>
    </w:p>
    <w:p>
      <w:pPr>
        <w:spacing w:after="80" w:before="80"/>
      </w:pPr>
      <w:r>
        <w:t xml:space="preserve"/>
      </w:r>
    </w:p>
    <w:p>
      <w:pPr>
        <w:pStyle w:val="Heading1"/>
        <w:pBdr>
          <w:bottom w:val="single" w:color="2874A6" w:sz="8" w:space="6"/>
        </w:pBdr>
        <w:spacing w:after="160" w:before="440"/>
      </w:pPr>
      <w:r>
        <w:rPr>
          <w:rFonts w:ascii="Arial" w:cs="Arial" w:eastAsia="Arial" w:hAnsi="Arial"/>
          <w:b/>
          <w:bCs/>
          <w:color w:val="1B4F72"/>
          <w:sz w:val="36"/>
          <w:szCs w:val="36"/>
        </w:rPr>
        <w:t xml:space="preserve">Precedent: This Approach Works</w:t>
      </w:r>
    </w:p>
    <w:p>
      <w:pPr>
        <w:spacing w:after="160" w:before="80"/>
        <w:jc w:val="both"/>
      </w:pPr>
      <w:r>
        <w:rPr>
          <w:rFonts w:ascii="Arial" w:cs="Arial" w:eastAsia="Arial" w:hAnsi="Arial"/>
          <w:color w:val="1C1C1C"/>
          <w:sz w:val="22"/>
          <w:szCs w:val="22"/>
        </w:rPr>
        <w:t xml:space="preserve">Scratch (MIT) supports 70+ interface languages and sees dramatically higher uptake where the UI matches the language of instruction. Blockly and mBlock reduce English friction visually and dominate in non-English STEM classrooms. Nuru — a Swahili-based programming language and computational-thinking curriculum — shows that local-language programming significantly boosts engagement and concept acquisition for young Africans. NeoXLang is the physical-world extension: Nuru for on-screen logic, NeoXLang for on-board hardware.</w:t>
      </w:r>
    </w:p>
    <w:p>
      <w:pPr>
        <w:spacing w:after="160" w:before="80"/>
        <w:jc w:val="both"/>
      </w:pPr>
      <w:r>
        <w:rPr>
          <w:rFonts w:ascii="Arial" w:cs="Arial" w:eastAsia="Arial" w:hAnsi="Arial"/>
          <w:color w:val="1C1C1C"/>
          <w:sz w:val="22"/>
          <w:szCs w:val="22"/>
        </w:rPr>
        <w:t xml:space="preserve">In Asia, Japan’s katakana computing vocabulary and China’s semantic translations (implemented through state and academic policy) created world-class engineering cultures conducted in non-English languages. The principle is proven: local-language technical vocabulary is a policy choice, not a linguistic impossibility.</w:t>
      </w:r>
    </w:p>
    <w:p>
      <w:pPr>
        <w:spacing w:after="80" w:before="80"/>
      </w:pPr>
      <w:r>
        <w:t xml:space="preserve"/>
      </w:r>
    </w:p>
    <w:p>
      <w:pPr>
        <w:pStyle w:val="Heading1"/>
        <w:pBdr>
          <w:bottom w:val="single" w:color="2874A6" w:sz="8" w:space="6"/>
        </w:pBdr>
        <w:spacing w:after="160" w:before="440"/>
      </w:pPr>
      <w:r>
        <w:rPr>
          <w:rFonts w:ascii="Arial" w:cs="Arial" w:eastAsia="Arial" w:hAnsi="Arial"/>
          <w:b/>
          <w:bCs/>
          <w:color w:val="1B4F72"/>
          <w:sz w:val="36"/>
          <w:szCs w:val="36"/>
        </w:rPr>
        <w:t xml:space="preserve">Roadmap and Projected Impact</w:t>
      </w:r>
    </w:p>
    <w:p>
      <w:pPr>
        <w:spacing w:after="8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800"/>
        <w:gridCol w:w="2880"/>
        <w:gridCol w:w="2400"/>
        <w:gridCol w:w="2280"/>
      </w:tblGrid>
      <w:tr>
        <w:tc>
          <w:tcPr>
            <w:tcW w:type="dxa" w:w="1800"/>
            <w:tcBorders>
              <w:top w:val="single" w:color="BDC3C7" w:sz="4"/>
              <w:left w:val="single" w:color="BDC3C7" w:sz="4"/>
              <w:bottom w:val="single" w:color="BDC3C7" w:sz="4"/>
              <w:right w:val="single" w:color="BDC3C7" w:sz="4"/>
            </w:tcBorders>
            <w:shd w:fill="1B4F72" w:val="clear"/>
            <w:tcMar>
              <w:top w:type="dxa" w:w="90"/>
              <w:left w:type="dxa" w:w="130"/>
              <w:bottom w:type="dxa" w:w="90"/>
              <w:right w:type="dxa" w:w="130"/>
            </w:tcMar>
          </w:tcPr>
          <w:p>
            <w:r>
              <w:rPr>
                <w:rFonts w:ascii="Arial" w:cs="Arial" w:eastAsia="Arial" w:hAnsi="Arial"/>
                <w:b/>
                <w:bCs/>
                <w:color w:val="FFFFFF"/>
                <w:sz w:val="20"/>
                <w:szCs w:val="20"/>
              </w:rPr>
              <w:t xml:space="preserve">Phase</w:t>
            </w:r>
          </w:p>
        </w:tc>
        <w:tc>
          <w:tcPr>
            <w:tcW w:type="dxa" w:w="2880"/>
            <w:tcBorders>
              <w:top w:val="single" w:color="BDC3C7" w:sz="4"/>
              <w:left w:val="single" w:color="BDC3C7" w:sz="4"/>
              <w:bottom w:val="single" w:color="BDC3C7" w:sz="4"/>
              <w:right w:val="single" w:color="BDC3C7" w:sz="4"/>
            </w:tcBorders>
            <w:shd w:fill="1B4F72" w:val="clear"/>
            <w:tcMar>
              <w:top w:type="dxa" w:w="90"/>
              <w:left w:type="dxa" w:w="130"/>
              <w:bottom w:type="dxa" w:w="90"/>
              <w:right w:type="dxa" w:w="130"/>
            </w:tcMar>
          </w:tcPr>
          <w:p>
            <w:r>
              <w:rPr>
                <w:rFonts w:ascii="Arial" w:cs="Arial" w:eastAsia="Arial" w:hAnsi="Arial"/>
                <w:b/>
                <w:bCs/>
                <w:color w:val="FFFFFF"/>
                <w:sz w:val="20"/>
                <w:szCs w:val="20"/>
              </w:rPr>
              <w:t xml:space="preserve">Action</w:t>
            </w:r>
          </w:p>
        </w:tc>
        <w:tc>
          <w:tcPr>
            <w:tcW w:type="dxa" w:w="2400"/>
            <w:tcBorders>
              <w:top w:val="single" w:color="BDC3C7" w:sz="4"/>
              <w:left w:val="single" w:color="BDC3C7" w:sz="4"/>
              <w:bottom w:val="single" w:color="BDC3C7" w:sz="4"/>
              <w:right w:val="single" w:color="BDC3C7" w:sz="4"/>
            </w:tcBorders>
            <w:shd w:fill="1B4F72" w:val="clear"/>
            <w:tcMar>
              <w:top w:type="dxa" w:w="90"/>
              <w:left w:type="dxa" w:w="130"/>
              <w:bottom w:type="dxa" w:w="90"/>
              <w:right w:type="dxa" w:w="130"/>
            </w:tcMar>
          </w:tcPr>
          <w:p>
            <w:r>
              <w:rPr>
                <w:rFonts w:ascii="Arial" w:cs="Arial" w:eastAsia="Arial" w:hAnsi="Arial"/>
                <w:b/>
                <w:bCs/>
                <w:color w:val="FFFFFF"/>
                <w:sz w:val="20"/>
                <w:szCs w:val="20"/>
              </w:rPr>
              <w:t xml:space="preserve">Target</w:t>
            </w:r>
          </w:p>
        </w:tc>
        <w:tc>
          <w:tcPr>
            <w:tcW w:type="dxa" w:w="2280"/>
            <w:tcBorders>
              <w:top w:val="single" w:color="BDC3C7" w:sz="4"/>
              <w:left w:val="single" w:color="BDC3C7" w:sz="4"/>
              <w:bottom w:val="single" w:color="BDC3C7" w:sz="4"/>
              <w:right w:val="single" w:color="BDC3C7" w:sz="4"/>
            </w:tcBorders>
            <w:shd w:fill="1B4F72" w:val="clear"/>
            <w:tcMar>
              <w:top w:type="dxa" w:w="90"/>
              <w:left w:type="dxa" w:w="130"/>
              <w:bottom w:type="dxa" w:w="90"/>
              <w:right w:type="dxa" w:w="130"/>
            </w:tcMar>
          </w:tcPr>
          <w:p>
            <w:r>
              <w:rPr>
                <w:rFonts w:ascii="Arial" w:cs="Arial" w:eastAsia="Arial" w:hAnsi="Arial"/>
                <w:b/>
                <w:bCs/>
                <w:color w:val="FFFFFF"/>
                <w:sz w:val="20"/>
                <w:szCs w:val="20"/>
              </w:rPr>
              <w:t xml:space="preserve">Partners</w:t>
            </w:r>
          </w:p>
        </w:tc>
      </w:tr>
      <w:tr>
        <w:tc>
          <w:tcPr>
            <w:tcW w:type="dxa" w:w="18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1 — Build</w:t>
            </w:r>
          </w:p>
        </w:tc>
        <w:tc>
          <w:tcPr>
            <w:tcW w:type="dxa" w:w="28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Swahili Arduino wrapper + NeoXLang IDE proof-of-concept</w:t>
            </w:r>
          </w:p>
        </w:tc>
        <w:tc>
          <w:tcPr>
            <w:tcW w:type="dxa" w:w="24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Working mobile IDE on a $100 Android phone</w:t>
            </w:r>
          </w:p>
        </w:tc>
        <w:tc>
          <w:tcPr>
            <w:tcW w:type="dxa" w:w="22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Open-source contributors</w:t>
            </w:r>
          </w:p>
        </w:tc>
      </w:tr>
      <w:tr>
        <w:tc>
          <w:tcPr>
            <w:tcW w:type="dxa" w:w="18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2 — Pilot</w:t>
            </w:r>
          </w:p>
        </w:tc>
        <w:tc>
          <w:tcPr>
            <w:tcW w:type="dxa" w:w="28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Deploy in 5 schools / makerspaces; iterate on terminology</w:t>
            </w:r>
          </w:p>
        </w:tc>
        <w:tc>
          <w:tcPr>
            <w:tcW w:type="dxa" w:w="24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50,000 users across 10 countries in Year 1</w:t>
            </w:r>
          </w:p>
        </w:tc>
        <w:tc>
          <w:tcPr>
            <w:tcW w:type="dxa" w:w="22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iHub, Kumasi Hive, universities</w:t>
            </w:r>
          </w:p>
        </w:tc>
      </w:tr>
      <w:tr>
        <w:tc>
          <w:tcPr>
            <w:tcW w:type="dxa" w:w="18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3 — Expand languages</w:t>
            </w:r>
          </w:p>
        </w:tc>
        <w:tc>
          <w:tcPr>
            <w:tcW w:type="dxa" w:w="28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Fork wrapper for Yoruba, Hausa, Amharic</w:t>
            </w:r>
          </w:p>
        </w:tc>
        <w:tc>
          <w:tcPr>
            <w:tcW w:type="dxa" w:w="24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500,000 users; 100+ institutions in Year 2</w:t>
            </w:r>
          </w:p>
        </w:tc>
        <w:tc>
          <w:tcPr>
            <w:tcW w:type="dxa" w:w="22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Language communities, donors</w:t>
            </w:r>
          </w:p>
        </w:tc>
      </w:tr>
      <w:tr>
        <w:tc>
          <w:tcPr>
            <w:tcW w:type="dxa" w:w="18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4 — Embed in policy</w:t>
            </w:r>
          </w:p>
        </w:tc>
        <w:tc>
          <w:tcPr>
            <w:tcW w:type="dxa" w:w="28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Align with national STEM programmes; feed vocab into African-language AI corpora</w:t>
            </w:r>
          </w:p>
        </w:tc>
        <w:tc>
          <w:tcPr>
            <w:tcW w:type="dxa" w:w="240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2M+ users; 40% STEM graduation uplift in pilots in Year 3</w:t>
            </w:r>
          </w:p>
        </w:tc>
        <w:tc>
          <w:tcPr>
            <w:tcW w:type="dxa" w:w="2280"/>
            <w:tcBorders>
              <w:top w:val="single" w:color="BDC3C7" w:sz="4"/>
              <w:left w:val="single" w:color="BDC3C7" w:sz="4"/>
              <w:bottom w:val="single" w:color="BDC3C7" w:sz="4"/>
              <w:right w:val="single" w:color="BDC3C7" w:sz="4"/>
            </w:tcBorders>
            <w:tcMar>
              <w:top w:type="dxa" w:w="90"/>
              <w:left w:type="dxa" w:w="130"/>
              <w:bottom w:type="dxa" w:w="90"/>
              <w:right w:type="dxa" w:w="130"/>
            </w:tcMar>
          </w:tcPr>
          <w:p>
            <w:pPr>
              <w:jc w:val="left"/>
            </w:pPr>
            <w:r>
              <w:rPr>
                <w:rFonts w:ascii="Arial" w:cs="Arial" w:eastAsia="Arial" w:hAnsi="Arial"/>
                <w:color w:val="1C1C1C"/>
                <w:sz w:val="20"/>
                <w:szCs w:val="20"/>
              </w:rPr>
              <w:t xml:space="preserve">Ministries, NGOs, AI labs</w:t>
            </w:r>
          </w:p>
        </w:tc>
      </w:tr>
    </w:tbl>
    <w:p>
      <w:pPr>
        <w:spacing w:after="80" w:before="80"/>
      </w:pPr>
      <w:r>
        <w:t xml:space="preserve"/>
      </w:r>
    </w:p>
    <w:p>
      <w:pPr>
        <w:spacing w:after="160" w:before="80"/>
        <w:jc w:val="both"/>
      </w:pPr>
      <w:r>
        <w:rPr>
          <w:rFonts w:ascii="Arial" w:cs="Arial" w:eastAsia="Arial" w:hAnsi="Arial"/>
          <w:color w:val="1C1C1C"/>
          <w:sz w:val="22"/>
          <w:szCs w:val="22"/>
        </w:rPr>
        <w:t xml:space="preserve">These targets are grounded in the existing mobile penetration data and the demonstrated success of comparable local-language STEM interventions. The cost of building this is low. The cost of not building it — measured in engineers who never found their way in, problems that went unsolved, and potential that was wasted — is very high.</w:t>
      </w:r>
    </w:p>
    <w:p>
      <w:pPr>
        <w:spacing w:after="80" w:before="80"/>
      </w:pPr>
      <w:r>
        <w:t xml:space="preserve"/>
      </w:r>
    </w:p>
    <w:p>
      <w:pPr>
        <w:pStyle w:val="Heading1"/>
        <w:pBdr>
          <w:bottom w:val="single" w:color="2874A6" w:sz="8" w:space="6"/>
        </w:pBdr>
        <w:spacing w:after="160" w:before="440"/>
      </w:pPr>
      <w:r>
        <w:rPr>
          <w:rFonts w:ascii="Arial" w:cs="Arial" w:eastAsia="Arial" w:hAnsi="Arial"/>
          <w:b/>
          <w:bCs/>
          <w:color w:val="1B4F72"/>
          <w:sz w:val="36"/>
          <w:szCs w:val="36"/>
        </w:rPr>
        <w:t xml:space="preserve">Why NeoXLang Fits the Eigen Prize</w:t>
      </w:r>
    </w:p>
    <w:p>
      <w:pPr>
        <w:pStyle w:val="ListParagraph"/>
        <w:numPr>
          <w:ilvl w:val="0"/>
          <w:numId w:val="2"/>
        </w:numPr>
        <w:spacing w:after="60" w:before="60"/>
      </w:pPr>
      <w:r>
        <w:rPr>
          <w:rFonts w:ascii="Arial" w:cs="Arial" w:eastAsia="Arial" w:hAnsi="Arial"/>
          <w:b/>
          <w:bCs/>
          <w:color w:val="1B4F72"/>
          <w:sz w:val="22"/>
          <w:szCs w:val="22"/>
        </w:rPr>
        <w:t xml:space="preserve">Solves a real, global problem: </w:t>
      </w:r>
      <w:r>
        <w:rPr>
          <w:rFonts w:ascii="Arial" w:cs="Arial" w:eastAsia="Arial" w:hAnsi="Arial"/>
          <w:color w:val="1C1C1C"/>
          <w:sz w:val="22"/>
          <w:szCs w:val="22"/>
        </w:rPr>
        <w:t xml:space="preserve">Bridges the digital divide in emerging markets using infrastructure people already have.</w:t>
      </w:r>
    </w:p>
    <w:p>
      <w:pPr>
        <w:pStyle w:val="ListParagraph"/>
        <w:numPr>
          <w:ilvl w:val="0"/>
          <w:numId w:val="2"/>
        </w:numPr>
        <w:spacing w:after="60" w:before="60"/>
      </w:pPr>
      <w:r>
        <w:rPr>
          <w:rFonts w:ascii="Arial" w:cs="Arial" w:eastAsia="Arial" w:hAnsi="Arial"/>
          <w:b/>
          <w:bCs/>
          <w:color w:val="1B4F72"/>
          <w:sz w:val="22"/>
          <w:szCs w:val="22"/>
        </w:rPr>
        <w:t xml:space="preserve">Genuinely innovative: </w:t>
      </w:r>
      <w:r>
        <w:rPr>
          <w:rFonts w:ascii="Arial" w:cs="Arial" w:eastAsia="Arial" w:hAnsi="Arial"/>
          <w:color w:val="1C1C1C"/>
          <w:sz w:val="22"/>
          <w:szCs w:val="22"/>
        </w:rPr>
        <w:t xml:space="preserve">Mobile-first IDE + local-language AI + multi-protocol hardware connectivity is a novel intersection that no existing tool offers.</w:t>
      </w:r>
    </w:p>
    <w:p>
      <w:pPr>
        <w:pStyle w:val="ListParagraph"/>
        <w:numPr>
          <w:ilvl w:val="0"/>
          <w:numId w:val="2"/>
        </w:numPr>
        <w:spacing w:after="60" w:before="60"/>
      </w:pPr>
      <w:r>
        <w:rPr>
          <w:rFonts w:ascii="Arial" w:cs="Arial" w:eastAsia="Arial" w:hAnsi="Arial"/>
          <w:b/>
          <w:bCs/>
          <w:color w:val="1B4F72"/>
          <w:sz w:val="22"/>
          <w:szCs w:val="22"/>
        </w:rPr>
        <w:t xml:space="preserve">Technically excellent: </w:t>
      </w:r>
      <w:r>
        <w:rPr>
          <w:rFonts w:ascii="Arial" w:cs="Arial" w:eastAsia="Arial" w:hAnsi="Arial"/>
          <w:color w:val="1C1C1C"/>
          <w:sz w:val="22"/>
          <w:szCs w:val="22"/>
        </w:rPr>
        <w:t xml:space="preserve">Production-ready Flutter app connecting over real protocols to industry-standard microcontrollers — not a toy or a simulation.</w:t>
      </w:r>
    </w:p>
    <w:p>
      <w:pPr>
        <w:pStyle w:val="ListParagraph"/>
        <w:numPr>
          <w:ilvl w:val="0"/>
          <w:numId w:val="2"/>
        </w:numPr>
        <w:spacing w:after="60" w:before="60"/>
      </w:pPr>
      <w:r>
        <w:rPr>
          <w:rFonts w:ascii="Arial" w:cs="Arial" w:eastAsia="Arial" w:hAnsi="Arial"/>
          <w:b/>
          <w:bCs/>
          <w:color w:val="1B4F72"/>
          <w:sz w:val="22"/>
          <w:szCs w:val="22"/>
        </w:rPr>
        <w:t xml:space="preserve">Scalable and sustainable: </w:t>
      </w:r>
      <w:r>
        <w:rPr>
          <w:rFonts w:ascii="Arial" w:cs="Arial" w:eastAsia="Arial" w:hAnsi="Arial"/>
          <w:color w:val="1C1C1C"/>
          <w:sz w:val="22"/>
          <w:szCs w:val="22"/>
        </w:rPr>
        <w:t xml:space="preserve">Open-source architecture designed for community forking; freemium SaaS model with institutional licensing, NGO partnerships, and revenue-share with microcontroller manufacturers.</w:t>
      </w:r>
    </w:p>
    <w:p>
      <w:pPr>
        <w:pStyle w:val="ListParagraph"/>
        <w:numPr>
          <w:ilvl w:val="0"/>
          <w:numId w:val="2"/>
        </w:numPr>
        <w:spacing w:after="60" w:before="60"/>
      </w:pPr>
      <w:r>
        <w:rPr>
          <w:rFonts w:ascii="Arial" w:cs="Arial" w:eastAsia="Arial" w:hAnsi="Arial"/>
          <w:b/>
          <w:bCs/>
          <w:color w:val="1B4F72"/>
          <w:sz w:val="22"/>
          <w:szCs w:val="22"/>
        </w:rPr>
        <w:t xml:space="preserve">Measurably impactful: </w:t>
      </w:r>
      <w:r>
        <w:rPr>
          <w:rFonts w:ascii="Arial" w:cs="Arial" w:eastAsia="Arial" w:hAnsi="Arial"/>
          <w:color w:val="1C1C1C"/>
          <w:sz w:val="22"/>
          <w:szCs w:val="22"/>
        </w:rPr>
        <w:t xml:space="preserve">Directly increases educational access and economic opportunity, with clear metrics: users, institutions, STEM graduation rates, and African-language AI corpus growth.</w:t>
      </w:r>
    </w:p>
    <w:p>
      <w:pPr>
        <w:pStyle w:val="ListParagraph"/>
        <w:numPr>
          <w:ilvl w:val="0"/>
          <w:numId w:val="2"/>
        </w:numPr>
        <w:spacing w:after="60" w:before="60"/>
      </w:pPr>
      <w:r>
        <w:rPr>
          <w:rFonts w:ascii="Arial" w:cs="Arial" w:eastAsia="Arial" w:hAnsi="Arial"/>
          <w:b/>
          <w:bCs/>
          <w:color w:val="1B4F72"/>
          <w:sz w:val="22"/>
          <w:szCs w:val="22"/>
        </w:rPr>
        <w:t xml:space="preserve">Holistic, not piecemeal: </w:t>
      </w:r>
      <w:r>
        <w:rPr>
          <w:rFonts w:ascii="Arial" w:cs="Arial" w:eastAsia="Arial" w:hAnsi="Arial"/>
          <w:color w:val="1C1C1C"/>
          <w:sz w:val="22"/>
          <w:szCs w:val="22"/>
        </w:rPr>
        <w:t xml:space="preserve">Most interventions address either the hardware gap or the language gap. NeoXLang addresses both, because they are two faces of the same problem.</w:t>
      </w:r>
    </w:p>
    <w:p>
      <w:pPr>
        <w:spacing w:after="80" w:before="80"/>
      </w:pPr>
      <w:r>
        <w:t xml:space="preserve"/>
      </w:r>
    </w:p>
    <w:p>
      <w:pPr>
        <w:pBdr>
          <w:top w:val="single" w:color="1B4F72" w:sz="8" w:space="12"/>
          <w:bottom w:val="single" w:color="1B4F72" w:sz="8" w:space="12"/>
        </w:pBdr>
        <w:shd w:fill="D6EAF8" w:val="clear"/>
        <w:spacing w:after="200" w:before="480"/>
        <w:ind w:left="400" w:right="400"/>
        <w:jc w:val="center"/>
      </w:pPr>
      <w:r>
        <w:rPr>
          <w:rFonts w:ascii="Arial" w:cs="Arial" w:eastAsia="Arial" w:hAnsi="Arial"/>
          <w:b/>
          <w:bCs/>
          <w:i/>
          <w:iCs/>
          <w:color w:val="1B4F72"/>
          <w:sz w:val="28"/>
          <w:szCs w:val="28"/>
        </w:rPr>
        <w:t xml:space="preserve">One phone. One mother tongue. One line of code at a time.</w:t>
      </w:r>
    </w:p>
    <w:p>
      <w:pPr>
        <w:spacing w:after="80" w:before="80"/>
      </w:pPr>
      <w:r>
        <w:t xml:space="preserve"/>
      </w:r>
    </w:p>
    <w:p>
      <w:pPr>
        <w:spacing w:after="160" w:before="80"/>
        <w:jc w:val="both"/>
      </w:pPr>
      <w:r>
        <w:rPr>
          <w:rFonts w:ascii="Arial" w:cs="Arial" w:eastAsia="Arial" w:hAnsi="Arial"/>
          <w:i/>
          <w:iCs/>
          <w:color w:val="1C1C1C"/>
          <w:sz w:val="22"/>
          <w:szCs w:val="22"/>
        </w:rPr>
        <w:t xml:space="preserve">NeoXLang is not a shortcut for people who failed to learn English or could not afford a computer. It is a statement about who gets to be a creator. Africa’s youth, its technicians, its teachers, and its makers have the intelligence, the curiosity, and the drive. The only thing between them and the digital future is infrastructure and language — and NeoXLang solves both.</w:t>
      </w:r>
    </w:p>
    <w:p>
      <w:pPr>
        <w:spacing w:after="160" w:before="80"/>
        <w:jc w:val="both"/>
      </w:pPr>
      <w:r>
        <w:rPr>
          <w:rFonts w:ascii="Arial" w:cs="Arial" w:eastAsia="Arial" w:hAnsi="Arial"/>
          <w:b/>
          <w:bCs/>
          <w:color w:val="1B4F72"/>
          <w:sz w:val="22"/>
          <w:szCs w:val="22"/>
        </w:rPr>
        <w:t xml:space="preserve">Engineering for everyone. Built for Africa. Ready for the world.</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DC3C7" w:sz="4" w:space="4"/>
      </w:pBdr>
      <w:tabs>
        <w:tab w:val="right" w:pos="9026"/>
      </w:tabs>
    </w:pPr>
    <w:r>
      <w:rPr>
        <w:rFonts w:ascii="Arial" w:cs="Arial" w:eastAsia="Arial" w:hAnsi="Arial"/>
        <w:color w:val="999999"/>
        <w:sz w:val="16"/>
        <w:szCs w:val="16"/>
      </w:rPr>
      <w:t xml:space="preserve">Confidential — NeoXLang 2025</w:t>
    </w:r>
    <w:r>
      <w:rPr>
        <w:rFonts w:ascii="Arial" w:cs="Arial" w:eastAsia="Arial" w:hAnsi="Arial"/>
        <w:sz w:val="16"/>
        <w:szCs w:val="16"/>
      </w:rPr>
      <w:tab/>
    </w:r>
    <w:r>
      <w:rPr>
        <w:rFonts w:ascii="Arial" w:cs="Arial" w:eastAsia="Arial" w:hAnsi="Arial"/>
        <w:color w:val="99999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2874A6" w:sz="6" w:space="6"/>
      </w:pBdr>
    </w:pPr>
    <w:r>
      <w:rPr>
        <w:rFonts w:ascii="Arial" w:cs="Arial" w:eastAsia="Arial" w:hAnsi="Arial"/>
        <w:b/>
        <w:bCs/>
        <w:color w:val="1B4F72"/>
        <w:sz w:val="18"/>
        <w:szCs w:val="18"/>
      </w:rPr>
      <w:t xml:space="preserve">NeoXLang  |  Eigen Prize Submission  |  Democratising Embedded Programming for Africa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440"/>
      <w:outlineLvl w:val="0"/>
    </w:pPr>
    <w:rPr>
      <w:rFonts w:ascii="Arial" w:cs="Arial" w:eastAsia="Arial" w:hAnsi="Arial"/>
      <w:b/>
      <w:bCs/>
      <w:color w:val="1B4F72"/>
      <w:sz w:val="36"/>
      <w:szCs w:val="36"/>
    </w:rPr>
  </w:style>
  <w:style w:type="paragraph" w:styleId="Heading2">
    <w:name w:val="Heading 2"/>
    <w:basedOn w:val="Normal"/>
    <w:next w:val="Normal"/>
    <w:qFormat/>
    <w:pPr>
      <w:spacing w:after="120" w:before="280"/>
      <w:outlineLvl w:val="1"/>
    </w:pPr>
    <w:rPr>
      <w:rFonts w:ascii="Arial" w:cs="Arial" w:eastAsia="Arial" w:hAnsi="Arial"/>
      <w:b/>
      <w:bCs/>
      <w:color w:val="2874A6"/>
      <w:sz w:val="27"/>
      <w:szCs w:val="2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2026-04-19T06:33:10.993Z</dcterms:created>
  <dcterms:modified xsi:type="dcterms:W3CDTF">2026-04-19T06:33:10.994Z</dcterms:modified>
</cp:coreProperties>
</file>

<file path=docProps/custom.xml><?xml version="1.0" encoding="utf-8"?>
<Properties xmlns="http://schemas.openxmlformats.org/officeDocument/2006/custom-properties" xmlns:vt="http://schemas.openxmlformats.org/officeDocument/2006/docPropsVTypes"/>
</file>